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or a Key Subcontractor in the provision of the Deliverables;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or a Key Subcontractor in connection with the Deliverables but which are also used by the Supplier or Key Subcontractor for other purposes;</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Contracting Authority receives in substitution for any of the Goods following the End Date, whether those goods are provided by the Contracting Authority internally and/or by any third party;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Contracting Authority receives in substitution for any of the Services following the End Date, whether those goods are provided by the Contracting Authority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Contracting Authority pursuant to the Termination Assistance Notice;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Contracting Authority;</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Contracting Authority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within 30 days from the Start Date provide to the Contracting Authority a copy of its depreciation policy to be used for the purposes of calculating Net Book Value.</w:t>
      </w:r>
    </w:p>
    <w:p w:rsidR="00000000" w:rsidDel="00000000" w:rsidP="00000000" w:rsidRDefault="00000000" w:rsidRPr="00000000" w14:paraId="0000002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Contracting Authority) at the request of the Contracting Authority to the Contracting Authority (and/or its nominee) and/or any Replacement Supplier upon the Supplier ceasing to provide the Deliverables (or part of them) and if the Supplier is unable to do so then the Supplier shall promptly notify the Contracting Authority and the Contracting Authority may require the Supplier to procure an alternative Subcontractor or provider of Deliverables. </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Assisting re-competition for Deliverables </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on reasonable notice, provide to the Contracting Authority and/or its potential Replacement Suppliers (subject to the potential Replacement Suppliers entering into reasonable written confidentiality undertakings), such information (including any access) as the Contracting Authority shall reasonably require in order to facilitate the preparation by the Contracting Authority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acknowledges that the Contracting Authority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Contracting Authority within five (5) Working Days of any material change to the Exit Information which may adversely impact upon the provision of any Deliverables (and shall consult the Contracting Authority in relation to any such changes).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within three (3) Months after the Start Date, deliver to the Contracting Authority an Exit Plan which complies with the requirements set out in Paragraph 4.3 of this Schedule and is otherwise reasonably satisfactory to the Contracting Authority.</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Contracting Authority;</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Contracting Authority and/or the Replacement Supplier upon the Expiry Date together with any reasonable costs required to effect such transfer;</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Contracting Authority or a Replacement Supplier copies of all documentation relating to the use and operation of the Deliverables and required for their continued use;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Contracting Authority Property in the possession of and/or control of the Supplier or any third party;</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Contracting Authority or a Replacement Supplier.</w:t>
      </w:r>
    </w:p>
    <w:p w:rsidR="00000000" w:rsidDel="00000000" w:rsidP="00000000" w:rsidRDefault="00000000" w:rsidRPr="00000000" w14:paraId="00000042">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 six (6) months throughout the Contract Period; and</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no later than twenty (20) Working Days after a request from the Contracting Authority for an up-to-date copy of the Exit Plan; </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twenty (20) Working Days following, any material change to the Deliverables (including all changes under the Variation Procedure); and  </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Contracting Authority and promptly correct any identified failures.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Contracting Authority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The Contracting Authority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Contracting Authority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Contracting Authority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Contracting Authority shall have the right to terminate its requirement for Termination Assistance by serving not less than (20) Working Days' written notice upon the Supplier.</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Contracting Authority but at the relevant time the parties are still agreeing an update to the Exit Plan pursuant to Paragraph 4, the Supplier will provide the Termination Assistance in good faith and in accordance with the principles in this Schedule and the last Contracting Authority approved version of the Exit Plan (insofar as it still applies).</w:t>
      </w:r>
    </w:p>
    <w:p w:rsidR="00000000" w:rsidDel="00000000" w:rsidP="00000000" w:rsidRDefault="00000000" w:rsidRPr="00000000" w14:paraId="00000054">
      <w:pPr>
        <w:keepNext w:val="1"/>
        <w:keepLines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Contracting Authority, provide the Termination Assistance;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provide to the Contracting Authority and/or its Replacement Supplier any reasonable assistance and/or access requested by the Contracting Authority and/or its Replacement Supplier including assistance and/or access to facilitate the orderly transfer of responsibility for and conduct of the Deliverables to the Contracting Authority and/or its Replacement Supplier;</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Contracting Authority;</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at the Contracting Authority's request and on reasonable notice, deliver up-to-date Registers to the Contracting Authority;</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Contracting Authority's prior written consent to access any Contracting Authority Premises from which the de-installation or removal of Supplier Assets is required.</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Contracting Authority, any additional costs incurred by the Supplier in providing such reasonable assistance shall be subject to the Variation Procedure.</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If the Supplier demonstrates to the Contracting Authority's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0">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Contracting Authority Premises;</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provide access during normal working hours to the Contracting Authority and/or the Replacement Supplier for up to twelve (12) Months after expiry or termination to:</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Contracting Authority and/or the Replacement Supplier shall pay the reasonable costs of the Supplier actually incurred in responding to such requests for access.</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Contracting Authority to the Supplier in relation to the Deliverables shall be terminated with effect from the end of the Termination Assistance Period.</w:t>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Assets, Sub-contracts and Software</w:t>
      </w:r>
    </w:p>
    <w:p w:rsidR="00000000" w:rsidDel="00000000" w:rsidP="00000000" w:rsidRDefault="00000000" w:rsidRPr="00000000" w14:paraId="00000068">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Contracting Authority's prior written consent:</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as4poj" w:id="27"/>
      <w:bookmarkEnd w:id="27"/>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Contracting Authority shall notify the Supplier setting out:</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pxezwc" w:id="28"/>
      <w:bookmarkEnd w:id="28"/>
      <w:r w:rsidDel="00000000" w:rsidR="00000000" w:rsidRPr="00000000">
        <w:rPr>
          <w:rFonts w:ascii="Arial" w:cs="Arial" w:eastAsia="Arial" w:hAnsi="Arial"/>
          <w:color w:val="000000"/>
          <w:sz w:val="24"/>
          <w:szCs w:val="24"/>
          <w:rtl w:val="0"/>
        </w:rPr>
        <w:t xml:space="preserve">which, if any, of the Transferable Assets the Contracting Authority requires to be transferred to the Contracting Authority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49x2ik5" w:id="29"/>
    <w:bookmarkEnd w:id="29"/>
    <w:p w:rsidR="00000000" w:rsidDel="00000000" w:rsidP="00000000" w:rsidRDefault="00000000" w:rsidRPr="00000000" w14:paraId="0000006D">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p2csry" w:id="30"/>
      <w:bookmarkEnd w:id="30"/>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Contracting Authority and/or the Replacement Supplier requires the continued use of; and</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which, if any, of Transferable Contracts the Contracting Authority requires to be assigned or novated to the Contracting Authority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709"/>
          <w:tab w:val="left" w:leader="none"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Contracting Authority and/or its Replacement Supplier to provide the Deliverables from the expiry of the Termination Assistance Period. The Supplier shall provide all reasonable assistance required by the Contracting Authority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o7alnk" w:id="32"/>
      <w:bookmarkEnd w:id="32"/>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Contracting Authority and/or the Replacement Supplier for their Net Book Value less any amount already paid for them through the Charges. </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Contracting Authority or the Replacement Supplier (as appropriate) at the end of the Termination Assistance Period and title shall pass on payment for them.</w:t>
      </w:r>
    </w:p>
    <w:p w:rsidR="00000000" w:rsidDel="00000000" w:rsidP="00000000" w:rsidRDefault="00000000" w:rsidRPr="00000000" w14:paraId="00000075">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3ckvvd" w:id="33"/>
      <w:bookmarkEnd w:id="33"/>
      <w:r w:rsidDel="00000000" w:rsidR="00000000" w:rsidRPr="00000000">
        <w:rPr>
          <w:rFonts w:ascii="Arial" w:cs="Arial" w:eastAsia="Arial" w:hAnsi="Arial"/>
          <w:color w:val="000000"/>
          <w:sz w:val="24"/>
          <w:szCs w:val="24"/>
          <w:rtl w:val="0"/>
        </w:rPr>
        <w:t xml:space="preserve">Where the Contracting Authority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Contracting Authority and/or the Replacement Supplier to use such assets (with a right of sub-licence or assignment on the same terms); or failing which</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Contracting Authority or the Replacement Supplier to bear the reasonable proven costs of procuring the same.</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ihv636" w:id="34"/>
      <w:bookmarkEnd w:id="34"/>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Contracting Authority and/or the Replacement Supplier.  The Supplier shall execute such documents and provide such other assistance as the Contracting Authority reasonably requires to effect this novation or assignment.</w:t>
      </w:r>
    </w:p>
    <w:p w:rsidR="00000000" w:rsidDel="00000000" w:rsidP="00000000" w:rsidRDefault="00000000" w:rsidRPr="00000000" w14:paraId="0000007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2hioqz" w:id="35"/>
      <w:bookmarkEnd w:id="35"/>
      <w:r w:rsidDel="00000000" w:rsidR="00000000" w:rsidRPr="00000000">
        <w:rPr>
          <w:rFonts w:ascii="Arial" w:cs="Arial" w:eastAsia="Arial" w:hAnsi="Arial"/>
          <w:color w:val="000000"/>
          <w:sz w:val="24"/>
          <w:szCs w:val="24"/>
          <w:rtl w:val="0"/>
        </w:rPr>
        <w:t xml:space="preserve">The Contracting Authority shall:</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Contracting Authority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Contracting Authority until the transfer of the relevant Transferring Contract to the Contracting Authority and/or the Replacement Supplier has taken place.</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The Supplier shall indemnify the Contracting Authority (and/or the Replacement Supplier, as applicable) against each loss, liability and cost arising out of any claims made by a counterparty to a Transferring Contract which is assigned or novated to the Contracting Authority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41mghml" w:id="37"/>
      <w:bookmarkEnd w:id="37"/>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w:cs="Arial" w:eastAsia="Arial" w:hAnsi="Arial"/>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Contracting Authority shall not be obliged to pay for costs incurred by the Supplier in relation to its compliance with this Schedule.</w:t>
      </w:r>
    </w:p>
    <w:p w:rsidR="00000000" w:rsidDel="00000000" w:rsidP="00000000" w:rsidRDefault="00000000" w:rsidRPr="00000000" w14:paraId="00000080">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1">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grqrue" w:id="38"/>
      <w:bookmarkEnd w:id="38"/>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Contracting Authority and/or the Replacement and the Supplier as follows: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Contracting Authority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r w:rsidDel="00000000" w:rsidR="00000000" w:rsidRPr="00000000">
        <w:rPr>
          <w:rtl w:val="0"/>
        </w:rPr>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13"/>
        <w:tab w:val="right" w:leader="none" w:pos="9026"/>
        <w:tab w:val="left" w:leader="none" w:pos="3559"/>
      </w:tabs>
      <w:spacing w:after="0" w:line="240" w:lineRule="auto"/>
      <w:jc w:val="right"/>
      <w:rPr>
        <w:color w:val="000000"/>
      </w:rPr>
    </w:pPr>
    <w:r w:rsidDel="00000000" w:rsidR="00000000" w:rsidRPr="00000000">
      <w:rPr>
        <w:rFonts w:ascii="Arial" w:cs="Arial" w:eastAsia="Arial" w:hAnsi="Arial"/>
        <w:color w:val="000000"/>
        <w:sz w:val="20"/>
        <w:szCs w:val="20"/>
        <w:highlight w:val="white"/>
        <w:rtl w:val="0"/>
      </w:rPr>
      <w:t xml:space="preserve">Call-Off Ref: 710518450 / </w:t>
    </w:r>
    <w:r w:rsidDel="00000000" w:rsidR="00000000" w:rsidRPr="00000000">
      <w:rPr>
        <w:rFonts w:ascii="Roboto" w:cs="Roboto" w:eastAsia="Roboto" w:hAnsi="Roboto"/>
        <w:color w:val="181818"/>
        <w:sz w:val="21"/>
        <w:szCs w:val="21"/>
        <w:highlight w:val="white"/>
        <w:rtl w:val="0"/>
      </w:rPr>
      <w:t xml:space="preserve">CCSM23A02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tabs>
        <w:tab w:val="num" w:pos="720"/>
      </w:tabs>
      <w:adjustRightInd w:val="0"/>
      <w:spacing w:after="240" w:line="240" w:lineRule="auto"/>
      <w:ind w:left="720" w:hanging="720"/>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tabs>
        <w:tab w:val="num" w:pos="1440"/>
      </w:tabs>
      <w:adjustRightInd w:val="0"/>
      <w:spacing w:after="240" w:line="240" w:lineRule="auto"/>
      <w:ind w:left="1440" w:hanging="720"/>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tabs>
        <w:tab w:val="num" w:pos="2160"/>
      </w:tabs>
      <w:adjustRightInd w:val="0"/>
      <w:spacing w:after="240" w:line="240" w:lineRule="auto"/>
      <w:ind w:left="2160" w:hanging="720"/>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tabs>
        <w:tab w:val="num" w:pos="2880"/>
      </w:tabs>
      <w:adjustRightInd w:val="0"/>
      <w:spacing w:after="240" w:line="240" w:lineRule="auto"/>
      <w:ind w:left="2880" w:hanging="720"/>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character" w:styleId="normaltextrun" w:customStyle="1">
    <w:name w:val="normaltextrun"/>
    <w:basedOn w:val="DefaultParagraphFont"/>
    <w:rsid w:val="00A97130"/>
  </w:style>
  <w:style w:type="character" w:styleId="eop" w:customStyle="1">
    <w:name w:val="eop"/>
    <w:basedOn w:val="DefaultParagraphFont"/>
    <w:rsid w:val="00A97130"/>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mqJrFDK1Or76vuQP9YbJMgFfJ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OAByITFBNWJoYzRkdnhaeHlKWTE2U1Q0UnlKX2FpRHJnQ1Zz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2024-12-09T12:40:00Z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0x0101009CEFB75345CA724198A07DE6383DACB7</vt:lpwstr>
  </property>
  <property fmtid="{D5CDD505-2E9C-101B-9397-08002B2CF9AE}" pid="8" name="MSIP_Label_d8a60473-494b-4586-a1bb-b0e663054676_Enabled">
    <vt:lpwstr>true</vt:lpwstr>
  </property>
  <property fmtid="{D5CDD505-2E9C-101B-9397-08002B2CF9AE}" pid="9" name="MSIP_Label_d8a60473-494b-4586-a1bb-b0e663054676_SetDate">
    <vt:lpwstr>2024-03-08T09:02:14Z</vt:lpwstr>
  </property>
  <property fmtid="{D5CDD505-2E9C-101B-9397-08002B2CF9AE}" pid="10" name="MSIP_Label_d8a60473-494b-4586-a1bb-b0e663054676_Method">
    <vt:lpwstr>Privileged</vt:lpwstr>
  </property>
  <property fmtid="{D5CDD505-2E9C-101B-9397-08002B2CF9AE}" pid="11" name="MSIP_Label_d8a60473-494b-4586-a1bb-b0e663054676_Name">
    <vt:lpwstr>MOD-1-O-‘UNMARKED’</vt:lpwstr>
  </property>
  <property fmtid="{D5CDD505-2E9C-101B-9397-08002B2CF9AE}" pid="12" name="MSIP_Label_d8a60473-494b-4586-a1bb-b0e663054676_SiteId">
    <vt:lpwstr>be7760ed-5953-484b-ae95-d0a16dfa09e5</vt:lpwstr>
  </property>
  <property fmtid="{D5CDD505-2E9C-101B-9397-08002B2CF9AE}" pid="13" name="MSIP_Label_d8a60473-494b-4586-a1bb-b0e663054676_ActionId">
    <vt:lpwstr>3eb5b6cc-e601-4675-9631-55b43cb9a8de</vt:lpwstr>
  </property>
  <property fmtid="{D5CDD505-2E9C-101B-9397-08002B2CF9AE}" pid="14" name="MSIP_Label_d8a60473-494b-4586-a1bb-b0e663054676_ContentBits">
    <vt:lpwstr>0</vt:lpwstr>
  </property>
  <property fmtid="{D5CDD505-2E9C-101B-9397-08002B2CF9AE}" pid="15" name="MediaServiceImageTags">
    <vt:lpwstr>MediaServiceImageTags</vt:lpwstr>
  </property>
</Properties>
</file>